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SafeSteps School Service Agreement</w:t>
      </w:r>
    </w:p>
    <w:p>
      <w:r>
        <w:rPr>
          <w:b/>
        </w:rPr>
        <w:t>Custom mental health safety resources for students families and staff</w:t>
      </w:r>
    </w:p>
    <w:p>
      <w:r>
        <w:t>Discussion draft with proposed introductory pricing. Complete the order form and obtain legal, procurement and content review before signature. This draft does not establish that the current prototype is ready for contracted delivery.</w:t>
      </w:r>
    </w:p>
    <w:p>
      <w:r>
        <w:t>SafeSteps provides a mobile-friendly educational reference website and school-specific resource pages. Students, families and staff can read the resource without an access fee. The school pays for customization, hosting, maintenance, distribution materials and support—not for the QR code itself.</w:t>
      </w:r>
    </w:p>
    <w:p>
      <w:pPr>
        <w:pStyle w:val="Heading1"/>
      </w:pPr>
      <w:r>
        <w:t>1 Parties and order form</w:t>
      </w:r>
    </w:p>
    <w:p>
      <w:r>
        <w:t>Provider legal name ______________________________________________</w:t>
        <w:br/>
        <w:t>Doing business as SafeSteps ________________________________________</w:t>
        <w:br/>
        <w:t>Provider address and notice email __________________________________</w:t>
      </w:r>
    </w:p>
    <w:p>
      <w:r>
        <w:t>Customer legal school or district name _______________________________</w:t>
        <w:br/>
        <w:t>Customer address and notice email __________________________________</w:t>
        <w:br/>
        <w:t>Authorized project contact and content approver _______________________</w:t>
      </w:r>
    </w:p>
    <w:p>
      <w:r>
        <w:t>Covered schools or campuses ______________________________________</w:t>
        <w:br/>
        <w:t>Effective date __________  Target launch date __________</w:t>
        <w:br/>
        <w:t>Service term start __________  Service term end __________</w:t>
      </w:r>
    </w:p>
    <w:p>
      <w:pPr>
        <w:pStyle w:val="Heading1"/>
      </w:pPr>
      <w:r>
        <w:t>2 Proposed introductory pricing</w:t>
      </w:r>
    </w:p>
    <w:tbl>
      <w:tblPr>
        <w:tblW w:type="auto" w:w="0"/>
        <w:jc w:val="center"/>
        <w:tblLayout w:type="fixed"/>
        <w:tblLook w:firstColumn="1" w:firstRow="1" w:lastColumn="0" w:lastRow="0" w:noHBand="0" w:noVBand="1" w:val="04A0"/>
      </w:tblPr>
      <w:tblGrid>
        <w:gridCol w:w="5616"/>
        <w:gridCol w:w="2232"/>
        <w:gridCol w:w="2232"/>
      </w:tblGrid>
      <w:tr>
        <w:trPr>
          <w:cantSplit/>
          <w:tblHeader/>
        </w:trPr>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9304E"/>
          </w:tcPr>
          <w:p>
            <w:pPr>
              <w:spacing w:after="40" w:line="252" w:lineRule="auto"/>
            </w:pPr>
            <w:r>
              <w:rPr>
                <w:b/>
                <w:color w:val="FFFFFF"/>
                <w:sz w:val="20"/>
              </w:rPr>
              <w:t>Plan</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9304E"/>
          </w:tcPr>
          <w:p>
            <w:pPr>
              <w:spacing w:after="40" w:line="252" w:lineRule="auto"/>
              <w:jc w:val="center"/>
            </w:pPr>
            <w:r>
              <w:rPr>
                <w:b/>
                <w:color w:val="FFFFFF"/>
                <w:sz w:val="20"/>
              </w:rPr>
              <w:t>Annual service</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9304E"/>
          </w:tcPr>
          <w:p>
            <w:pPr>
              <w:spacing w:after="40" w:line="252" w:lineRule="auto"/>
              <w:jc w:val="center"/>
            </w:pPr>
            <w:r>
              <w:rPr>
                <w:b/>
                <w:color w:val="FFFFFF"/>
                <w:sz w:val="20"/>
              </w:rPr>
              <w:t>One time setup</w:t>
            </w:r>
          </w:p>
        </w:tc>
      </w:tr>
      <w:tr>
        <w:trPr>
          <w:cantSplit/>
        </w:trPr>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color w:val="000000"/>
                <w:sz w:val="20"/>
              </w:rPr>
              <w:t>School Essentials • one school</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$500</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sz w:val="20"/>
              </w:rPr>
              <w:t>$500</w:t>
            </w:r>
          </w:p>
        </w:tc>
      </w:tr>
      <w:tr>
        <w:trPr>
          <w:cantSplit/>
        </w:trPr>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pPr>
            <w:r>
              <w:rPr>
                <w:b w:val="0"/>
                <w:color w:val="000000"/>
                <w:sz w:val="20"/>
              </w:rPr>
              <w:t>School Plus • one school with staff resources</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$1,000</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sz w:val="20"/>
              </w:rPr>
              <w:t>$500</w:t>
            </w:r>
          </w:p>
        </w:tc>
      </w:tr>
      <w:tr>
        <w:trPr>
          <w:cantSplit/>
        </w:trPr>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color w:val="000000"/>
                <w:sz w:val="20"/>
              </w:rPr>
              <w:t>District • up to five schools and one central hub</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$2,500</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$750</w:t>
            </w:r>
          </w:p>
        </w:tc>
      </w:tr>
      <w:tr>
        <w:trPr>
          <w:cantSplit/>
        </w:trPr>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pPr>
            <w:r>
              <w:rPr>
                <w:b w:val="0"/>
                <w:color w:val="000000"/>
                <w:sz w:val="20"/>
              </w:rPr>
              <w:t>Each additional district school</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$350</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$100</w:t>
            </w:r>
          </w:p>
        </w:tc>
      </w:tr>
      <w:tr>
        <w:trPr>
          <w:cantSplit/>
        </w:trPr>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color w:val="000000"/>
                <w:sz w:val="20"/>
              </w:rPr>
              <w:t>Staff hub added to Essentials</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$250</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$100</w:t>
            </w:r>
          </w:p>
        </w:tc>
      </w:tr>
    </w:tbl>
    <w:p/>
    <w:p>
      <w:r>
        <w:t>Selected plan __________________  Covered school count ______</w:t>
        <w:br/>
        <w:t>Annual fee $________  Setup fee $________  Approved additions $________</w:t>
        <w:br/>
        <w:t>First year total $________  Renewal annual fee $________</w:t>
      </w:r>
    </w:p>
    <w:p>
      <w:r>
        <w:t>All amounts are in USD. First-year total equals annual service plus setup and approved additions. Taxes, if legally due, are additional; Customer may supply an exemption certificate. No student count or scan-based surcharge applies. These rates are proposed starting offers, not verified market prices.</w:t>
      </w:r>
    </w:p>
    <w:p>
      <w:pPr>
        <w:pStyle w:val="Heading1"/>
        <w:pageBreakBefore/>
      </w:pPr>
      <w:r>
        <w:t>3 What the selected plan includes</w:t>
      </w:r>
    </w:p>
    <w:p>
      <w:r>
        <w:t>All plans include the SafeSteps student, parent/caregiver, family-practice and adult self-care guides; local student and family resources; a school or district resource view; a stable share link and QR file; mobile-friendly delivery; source attribution; a visible update date; and routine support during the active term. Essentials is $1,000 in year one and $500 at annual renewal, excluding add-ons and applicable taxes.</w:t>
      </w:r>
    </w:p>
    <w:tbl>
      <w:tblPr>
        <w:tblW w:type="auto" w:w="0"/>
        <w:jc w:val="center"/>
        <w:tblLayout w:type="fixed"/>
        <w:tblLook w:firstColumn="1" w:firstRow="1" w:lastColumn="0" w:lastRow="0" w:noHBand="0" w:noVBand="1" w:val="04A0"/>
      </w:tblPr>
      <w:tblGrid>
        <w:gridCol w:w="4176"/>
        <w:gridCol w:w="1728"/>
        <w:gridCol w:w="1728"/>
        <w:gridCol w:w="2448"/>
      </w:tblGrid>
      <w:tr>
        <w:trPr>
          <w:cantSplit/>
          <w:tblHeader/>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9304E"/>
          </w:tcPr>
          <w:p>
            <w:pPr>
              <w:spacing w:after="40" w:line="252" w:lineRule="auto"/>
            </w:pPr>
            <w:r>
              <w:rPr>
                <w:b/>
                <w:color w:val="FFFFFF"/>
                <w:sz w:val="20"/>
              </w:rPr>
              <w:t>Included item</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9304E"/>
          </w:tcPr>
          <w:p>
            <w:pPr>
              <w:spacing w:after="40" w:line="252" w:lineRule="auto"/>
              <w:jc w:val="center"/>
            </w:pPr>
            <w:r>
              <w:rPr>
                <w:b/>
                <w:color w:val="FFFFFF"/>
                <w:sz w:val="20"/>
              </w:rPr>
              <w:t>Essentials</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9304E"/>
          </w:tcPr>
          <w:p>
            <w:pPr>
              <w:spacing w:after="40" w:line="252" w:lineRule="auto"/>
              <w:jc w:val="center"/>
            </w:pPr>
            <w:r>
              <w:rPr>
                <w:b/>
                <w:color w:val="FFFFFF"/>
                <w:sz w:val="20"/>
              </w:rPr>
              <w:t>Plus</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9304E"/>
          </w:tcPr>
          <w:p>
            <w:pPr>
              <w:spacing w:after="40" w:line="252" w:lineRule="auto"/>
              <w:jc w:val="center"/>
            </w:pPr>
            <w:r>
              <w:rPr>
                <w:b/>
                <w:color w:val="FFFFFF"/>
                <w:sz w:val="20"/>
              </w:rPr>
              <w:t>District</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color w:val="000000"/>
                <w:sz w:val="20"/>
              </w:rPr>
              <w:t>Schools or campuses</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1</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1</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Up to 5</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pPr>
            <w:r>
              <w:rPr>
                <w:b w:val="0"/>
                <w:color w:val="000000"/>
                <w:sz w:val="20"/>
              </w:rPr>
              <w:t>Local links or contact entries</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Up to 10</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Up to 25</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Up to 15 per school</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color w:val="000000"/>
                <w:sz w:val="20"/>
              </w:rPr>
              <w:t>Staff links in separate section</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Add-on only</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Up to 15</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Up to 20 in central hub</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pPr>
            <w:r>
              <w:rPr>
                <w:b w:val="0"/>
                <w:color w:val="000000"/>
                <w:sz w:val="20"/>
              </w:rPr>
              <w:t>Planned refresh batches per year</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2</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4</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4 district-wide</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color w:val="000000"/>
                <w:sz w:val="20"/>
              </w:rPr>
              <w:t>Initial review rounds</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2</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2</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jc w:val="center"/>
            </w:pPr>
            <w:r>
              <w:rPr>
                <w:b w:val="0"/>
                <w:color w:val="000000"/>
                <w:sz w:val="20"/>
              </w:rPr>
              <w:t>2 per school view</w:t>
            </w:r>
          </w:p>
        </w:tc>
      </w:tr>
      <w:tr>
        <w:trPr>
          <w:cantSplit/>
        </w:trPr>
        <w:tc>
          <w:tcPr>
            <w:tcW w:type="dxa" w:w="41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pPr>
            <w:r>
              <w:rPr>
                <w:b w:val="0"/>
                <w:color w:val="000000"/>
                <w:sz w:val="20"/>
              </w:rPr>
              <w:t>Digital flyer templates</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1</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2</w:t>
            </w:r>
          </w:p>
        </w:tc>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2F5F8"/>
          </w:tcPr>
          <w:p>
            <w:pPr>
              <w:spacing w:after="40" w:line="252" w:lineRule="auto"/>
              <w:jc w:val="center"/>
            </w:pPr>
            <w:r>
              <w:rPr>
                <w:b w:val="0"/>
                <w:color w:val="000000"/>
                <w:sz w:val="20"/>
              </w:rPr>
              <w:t>1 per school</w:t>
            </w:r>
          </w:p>
        </w:tc>
      </w:tr>
    </w:tbl>
    <w:p/>
    <w:p>
      <w:r>
        <w:t>One resource entry means one destination link or one contact listing. Each planned refresh is one consolidated batch submitted by the designated approver, updating existing links, contacts, dates, text or resource order. Unused refreshes do not roll over. Corrections to Provider errors and urgent safety-link corrections do not consume a refresh.</w:t>
      </w:r>
    </w:p>
    <w:p>
      <w:pPr>
        <w:pStyle w:val="Heading2"/>
      </w:pPr>
      <w:r>
        <w:t>School specific configuration</w:t>
      </w:r>
    </w:p>
    <w:p>
      <w:r>
        <w:t>Included local student and family resources may cover state/county/city services, counselor, nurse and social-worker contact routes, local referrals, family assistance, age-appropriate labels, school-year dates and approved instructions for asking for help. Each covered school may have a distinct share link and QR code. Custom school logos, colors and visual branding are separately quoted add-ons. Employee resources are excluded from Essentials unless the staff hub is purchased.</w:t>
      </w:r>
    </w:p>
    <w:p>
      <w:pPr>
        <w:pStyle w:val="Heading2"/>
      </w:pPr>
      <w:r>
        <w:t>Fully customizable through an agreed scope</w:t>
      </w:r>
    </w:p>
    <w:p>
      <w:r>
        <w:t>The content, sections, resource categories, navigation and distribution materials can be tailored to Customer needs. The plan covers the limits above. New functionality, additional pages, major redesign, extra refreshes, professional translations, integrations or bespoke content require a written change order specifying deliverables, review responsibilities, price and schedule before work begins. Additional approved work is proposed at $100/hour or a fixed written quote; no work proceeds beyond the approved cost ceiling.</w:t>
      </w:r>
    </w:p>
    <w:p>
      <w:pPr>
        <w:pStyle w:val="Heading2"/>
      </w:pPr>
      <w:r>
        <w:t>What is outside the base service</w:t>
      </w:r>
    </w:p>
    <w:p>
      <w:r>
        <w:t>Clinical assessment, counseling, crisis response, certified training, student monitoring, insurance administration, claims processing, benefits enrollment, payment collection, custom authentication and HR-system integrations are excluded. Printing, custom-domain purchase and renewal, independent clinician review and translation certification are excluded unless expressly listed in a change order.</w:t>
      </w:r>
    </w:p>
    <w:p>
      <w:pPr>
        <w:pStyle w:val="Heading2"/>
      </w:pPr>
      <w:r>
        <w:t>Analytics is optional and not enabled in the prototype</w:t>
      </w:r>
    </w:p>
    <w:p>
      <w:r>
        <w:t>School-level visit reporting may be added only after technical verification and a signed privacy/analytics addendum. It is separately quoted, not included in these prices. The addendum must define metrics, permitted technical processing, retention, access and small-count suppression. Visits are not exact counts of scans or unique people; no individual mental-health activity reports will be provided.</w:t>
      </w:r>
    </w:p>
    <w:p>
      <w:pPr>
        <w:pStyle w:val="Heading1"/>
        <w:pageBreakBefore/>
      </w:pPr>
      <w:r>
        <w:t>4 Staff resources and school customization schedule</w:t>
      </w:r>
    </w:p>
    <w:p>
      <w:r>
        <w:t>An optional staff section can collect convenient links to Customer’s existing employee support services. It is separate in navigation from the student and family guides. Customer selects and approves every staff destination.</w:t>
      </w:r>
    </w:p>
    <w:p>
      <w:pPr>
        <w:pStyle w:val="Heading2"/>
      </w:pPr>
      <w:r>
        <w:t>Examples of staff resources</w:t>
      </w:r>
    </w:p>
    <w:p>
      <w:r>
        <w:t>Employee Assistance Program access instructions; insurance carrier member portals; in-network mental-health provider search; benefits summaries and annual enrollment pages; district HR contacts; leave and accommodation policies; wellness resources; and school-approved staff support services.</w:t>
      </w:r>
    </w:p>
    <w:p>
      <w:pPr>
        <w:pStyle w:val="Heading2"/>
      </w:pPr>
      <w:r>
        <w:t>Public links and restricted destinations</w:t>
      </w:r>
    </w:p>
    <w:p>
      <w:r>
        <w:t>A separate menu does not make a staff section private. Public staff pages may contain only information Customer approves for public release. Confidential plan documents and employee-specific information must remain in Customer’s or the carrier’s access-controlled portal. SafeSteps links visitors to that portal and does not collect passwords, employee IDs, insurance numbers, claims, diagnoses or enrollment choices. An authenticated staff area requires a separate approved scope and security review.</w:t>
      </w:r>
    </w:p>
    <w:p>
      <w:pPr>
        <w:pStyle w:val="Heading2"/>
      </w:pPr>
      <w:r>
        <w:t>Complete before implementation</w:t>
      </w:r>
    </w:p>
    <w:p>
      <w:r>
        <w:t>Primary audience and intended ages __________________________________</w:t>
        <w:br/>
        <w:t>State county and city ______________________________________________</w:t>
        <w:br/>
        <w:t>Covered campuses and requested school labels ________________________</w:t>
        <w:br/>
        <w:t>Optional branding add-on requested ___________________________________</w:t>
        <w:br/>
        <w:t>School referral contacts and permitted office hours _____________________</w:t>
      </w:r>
    </w:p>
    <w:p>
      <w:r>
        <w:t>Requested local services and resource categories ______________________</w:t>
        <w:br/>
        <w:t>_______________________________________________________________</w:t>
        <w:br/>
        <w:t>Staff section requested  Yes / No   Public links only  Yes / No</w:t>
        <w:br/>
        <w:t>Staff resources and destination portals _______________________________</w:t>
        <w:br/>
        <w:t>_______________________________________________________________</w:t>
      </w:r>
    </w:p>
    <w:p>
      <w:r>
        <w:t>Languages or accessibility needs ____________________________________</w:t>
        <w:br/>
        <w:t>Requested flyer formats and distribution channels _____________________</w:t>
        <w:br/>
        <w:t>School link and QR destination ______________________________________</w:t>
        <w:br/>
        <w:t>Custom domain requested and responsible owner ______________________</w:t>
      </w:r>
    </w:p>
    <w:p>
      <w:r>
        <w:t>Anything outside the selected plan __________________________________</w:t>
        <w:br/>
        <w:t>_______________________________________________________________</w:t>
        <w:br/>
        <w:t>Approved extra fee and cost ceiling __________________________________</w:t>
        <w:br/>
        <w:t>School content approver ___________________________________________</w:t>
        <w:br/>
        <w:t>Qualified safety content reviewer ____________________________________</w:t>
      </w:r>
    </w:p>
    <w:p>
      <w:pPr>
        <w:pStyle w:val="Heading2"/>
      </w:pPr>
      <w:r>
        <w:t>Approval record</w:t>
      </w:r>
    </w:p>
    <w:p>
      <w:r>
        <w:t>Customer confirms it has the rights to supplied materials and permission to publish contact details. Provider will not imply endorsement by a school, clinician, insurer or EAP unless expressly authorized. Any new or substantively changed safety advice requires qualified review; the school cannot customize away urgent-help instructions or add unsupported medical claims.</w:t>
      </w:r>
    </w:p>
    <w:p>
      <w:pPr>
        <w:pStyle w:val="Heading1"/>
        <w:pageBreakBefore/>
      </w:pPr>
      <w:r>
        <w:t>5 Delivery updates and support</w:t>
      </w:r>
    </w:p>
    <w:p>
      <w:pPr>
        <w:pStyle w:val="Heading2"/>
      </w:pPr>
      <w:r>
        <w:t>Implementation and launch acceptance</w:t>
      </w:r>
    </w:p>
    <w:p>
      <w:r>
        <w:t>Provider prepares a preview within a target of 15 business days after receiving complete materials and the agreed order. Customer consolidates feedback through one approver. Two initial review rounds are included. Customer must provide written launch approval; silence is not acceptance. Approved changes or delayed school review may change the launch date by mutual written agreement.</w:t>
      </w:r>
    </w:p>
    <w:p>
      <w:r>
        <w:t>Provider must confirm hosting, privacy disclosures, link checks and agreed accessibility checks before launch. Qualified review of mental-health safety content must be documented for the release being distributed. The current prototype has not received independent clinical review. A preview may be shared for evaluation if clearly identified as such, but neither party may represent it as professionally approved before review is complete.</w:t>
      </w:r>
    </w:p>
    <w:p>
      <w:pPr>
        <w:pStyle w:val="Heading2"/>
      </w:pPr>
      <w:r>
        <w:t>Maintenance and annual continuity</w:t>
      </w:r>
    </w:p>
    <w:p>
      <w:r>
        <w:t>Provider performs link checks at each scheduled refresh and displays the revision date. The QR destination remains the same during the active term; content and school-year labels can change without replacing printed QR codes. Local contacts and materials, and any purchased branding add-on, are maintained only for the covered schools and purchased term. Provider will preserve a redirect when moving an approved destination and notify Customer before a material URL change.</w:t>
      </w:r>
    </w:p>
    <w:p>
      <w:pPr>
        <w:pStyle w:val="Heading2"/>
      </w:pPr>
      <w:r>
        <w:t>Routine support</w:t>
      </w:r>
    </w:p>
    <w:p>
      <w:r>
        <w:t>Support is by the Provider notice email listed on page 1. Proposed service hours are Monday–Friday, 9 am–5 pm in Provider’s stated time zone, excluding holidays. Provider will acknowledge routine requests within three business days and target completion of approved simple link/contact edits within five business days after receiving complete information. These are service targets, not continuous availability or emergency-response guarantees.</w:t>
      </w:r>
    </w:p>
    <w:p>
      <w:r>
        <w:t>Provider will promptly acknowledge reported unsafe or broken urgent-help content during service hours and prioritize correction or temporary removal. Customer must use emergency or crisis services for immediate safety needs; service email is not monitored as a crisis channel. Provider will notify Customer of a material outage affecting the contracted site and provide reasonable recovery updates.</w:t>
      </w:r>
    </w:p>
    <w:p>
      <w:pPr>
        <w:pStyle w:val="Heading1"/>
      </w:pPr>
      <w:r>
        <w:t>6 School responsibilities and safety boundaries</w:t>
      </w:r>
    </w:p>
    <w:p>
      <w:r>
        <w:t>Customer supplies current school and HR resources, identifies an approver and qualified reviewer, authorizes distribution, verifies eligibility/coverage descriptions and promptly reports contact or policy changes. Provider checks external links but cannot guarantee external services, opening hours, treatment availability or benefit coverage. Staff should confirm benefit eligibility with HR, the insurer or EAP.</w:t>
      </w:r>
    </w:p>
    <w:p>
      <w:r>
        <w:t>SafeSteps is an educational quick-reference resource. It does not diagnose, provide treatment, replace school procedures or professional care, assess risk, monitor users, notify adults or guarantee prevention outcomes. Customer retains its existing safeguarding and emergency-response duties. Neither party will describe the service as certified training unless a separate, valid certification arrangement exists.</w:t>
      </w:r>
    </w:p>
    <w:p>
      <w:pPr>
        <w:pStyle w:val="Heading1"/>
        <w:pageBreakBefore/>
      </w:pPr>
      <w:r>
        <w:t>7 Privacy confidentiality and external links</w:t>
      </w:r>
    </w:p>
    <w:p>
      <w:r>
        <w:t>The base service does not require student or employee accounts, receive education records, collect symptom reports or host personal-health submissions. Customer must not send Provider student records, crisis narratives, claims information or employee medical information. If personal data is received unintentionally, Provider will restrict access, notify Customer and arrange lawful deletion or return.</w:t>
      </w:r>
    </w:p>
    <w:p>
      <w:r>
        <w:t>Provider will maintain accurate public privacy disclosures. Hosting services may process technical logs; Provider must document the actual hosting providers, log purposes, access, retention and safeguards before contracted launch. No behavioral advertising, sale of visitor data, cross-site profiling or marketing use of student activity is authorized. Analytics defaults to off unless a separate approved addendum specifies otherwise.</w:t>
      </w:r>
    </w:p>
    <w:p>
      <w:r>
        <w:t>Any requested collection of student information, employee personal data, private staff access or identifiable analytics requires a separate written data agreement and applicable school privacy/procurement review before implementation. This contract does not itself establish compliance with FERPA, COPPA or state privacy laws. External portals retain their own access controls and privacy practices.</w:t>
      </w:r>
    </w:p>
    <w:p>
      <w:r>
        <w:t>Each party will safeguard nonpublic business and contract materials and use them only to perform this agreement, subject to applicable public-records law. Provider will notify Customer without unreasonable delay after discovering a security incident affecting Customer confidential information, describe known facts and mitigation, and cooperate with legally required response. Binding incident deadlines and data controls, if needed, belong in the data addendum.</w:t>
      </w:r>
    </w:p>
    <w:p>
      <w:pPr>
        <w:pStyle w:val="Heading1"/>
      </w:pPr>
      <w:r>
        <w:t>8 Fees term renewal and termination</w:t>
      </w:r>
    </w:p>
    <w:p>
      <w:r>
        <w:t>The signed order establishes a 12-month service term unless another term is written on page 1. Setup is invoiced after delivery of the initial preview; annual service is invoiced following written launch acceptance. Undisputed invoices are due within 30 days, subject to any mandatory public-entity payment rule. Customer may pay by an agreed lawful procurement method; no card on file is required.</w:t>
      </w:r>
    </w:p>
    <w:p>
      <w:r>
        <w:t>Renewal requires a written order or authorized purchase order. There is no automatic renewal. Provider will send renewal scope and pricing at least 60 days before term end. Price changes apply only to an accepted renewal; routine setup fees are not charged again unless an approved new scope requires them.</w:t>
      </w:r>
    </w:p>
    <w:p>
      <w:r>
        <w:t>Either party may terminate for a material breach not cured within 30 days of written notice. Customer may terminate on 30 days’ notice or as required by lawful nonappropriation or public procurement rules. Provider refunds prepaid, unused annual service on a daily prorated basis after termination; completed setup and accepted extra work remain payable. Disputed sums are addressed in good faith; Provider gives notice and a reasonable chance to cure before suspending customization for nonpayment.</w:t>
      </w:r>
    </w:p>
    <w:p>
      <w:r>
        <w:t>Termination does not put the general safety guide behind a payment wall. School-specific branding and staff links may be removed. For at least 90 days after termination, the contracted share link will redirect to the general free guide where technically available. Customer retains distributed flyer copies and should update distribution materials; further school-specific maintenance requires renewal.</w:t>
      </w:r>
    </w:p>
    <w:p>
      <w:pPr>
        <w:pStyle w:val="Heading1"/>
        <w:pageBreakBefore/>
      </w:pPr>
      <w:r>
        <w:t>9 Ownership limits and dispute terms</w:t>
      </w:r>
    </w:p>
    <w:p>
      <w:r>
        <w:t>Provider retains its pre-existing platform, templates and general educational content. Customer retains its names, logos, policies and supplied materials. Customer receives a nonexclusive right to distribute approved flyers, QR files and links for the covered community during the term, and may retain copies afterward without implying continued maintenance or school endorsement. No ownership of Provider code is transferred.</w:t>
      </w:r>
    </w:p>
    <w:p>
      <w:r>
        <w:t>Provider will perform agreed work with reasonable care and correct material departures from approved scope without an additional service fee. No guarantee is made about external-provider performance, uninterrupted internet access, user outcomes or insurer coverage. Any limitation is subject to mandatory law and does not displace expressly agreed obligations.</w:t>
      </w:r>
    </w:p>
    <w:p>
      <w:r>
        <w:t>To the extent legally permitted, neither party is liable for indirect or consequential damages, and each party’s total contract liability is limited to twice the annual service fee in the signed order. This proposed limit does not apply to fraud, willful misconduct, gross negligence, misuse of confidential information or liabilities that cannot lawfully be limited. No public entity waives statutory immunity or rights by signing this draft. The parties may revise this clause through legal review.</w:t>
      </w:r>
    </w:p>
    <w:p>
      <w:r>
        <w:t>The parties will first attempt to resolve disputes through their designated representatives. Governing law is the law of Customer’s state, excluding conflict-of-law rules, with venue in a court of competent jurisdiction in Customer’s county, subject to mandatory law. No mandatory arbitration or school indemnity is created. Final jurisdiction and public-entity terms must be reviewed before signature.</w:t>
      </w:r>
    </w:p>
    <w:p>
      <w:r>
        <w:t>This agreement, the completed order and any signed schedules are the entire service scope. Changes require written approval by authorized representatives. A signed school privacy or procurement addendum controls on conflicting subject matter; the order controls on price and deliverables. Each signer confirms authority to bind the named legal party. An unregistered trade name cannot substitute for the actual contracting provider.</w:t>
      </w:r>
    </w:p>
    <w:p>
      <w:pPr>
        <w:pStyle w:val="Heading1"/>
      </w:pPr>
      <w:r>
        <w:t>10 Required readiness and signatures</w:t>
      </w:r>
    </w:p>
    <w:p>
      <w:r>
        <w:t>Before contracted launch, complete: legal party names and notice contacts; hosting and privacy review; school content approval; qualified safety-content review; scope and pricing; support hours/time zone; and procurement approval. Any incomplete item must be resolved before accepting launch payment or representing the service as ready.</w:t>
      </w:r>
    </w:p>
    <w:p>
      <w:r>
        <w:t>Selected schedules or change orders __________________________________</w:t>
        <w:br/>
        <w:t>Special procurement or privacy terms _________________________________</w:t>
        <w:br/>
        <w:t>Provider support time zone _________________________________________</w:t>
      </w:r>
    </w:p>
    <w:p>
      <w:r>
        <w:t>PROVIDER</w:t>
        <w:br/>
        <w:t>Legal name _____________________________________________________</w:t>
        <w:br/>
        <w:t>Authorized signer and title __________________________________________</w:t>
        <w:br/>
        <w:t>Signature ______________________________  Date ____________________</w:t>
      </w:r>
    </w:p>
    <w:p>
      <w:r>
        <w:t>CUSTOMER</w:t>
        <w:br/>
        <w:t>Legal school or district name ________________________________________</w:t>
        <w:br/>
        <w:t>Authorized signer and title __________________________________________</w:t>
        <w:br/>
        <w:t>Signature ______________________________  Date ____________________</w:t>
      </w:r>
    </w:p>
    <w:p>
      <w:r>
        <w:t>Prepared for discussion only. Have counsel for the applicable school jurisdiction review the agreement before use. Proposed pricing and service targets can be revised before signature.</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Discussion draft  •  October 2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SAFESTEPS  |  SCHOOL AND DISTRICT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SafeSteps School Service Agreement</dc:title>
  <dc:subject>School customization services pricing and staff resource links</dc:subject>
  <dc:creator>SafeSteps</dc:creator>
  <cp:keywords/>
  <dc:description>generated by python-docx</dc:description>
  <cp:lastModifiedBy/>
  <cp:revision>1</cp:revision>
  <dcterms:created xsi:type="dcterms:W3CDTF">2013-12-23T23:15:00Z</dcterms:created>
  <dcterms:modified xsi:type="dcterms:W3CDTF">2013-12-23T23:15:00Z</dcterms:modified>
  <cp:category/>
</cp:coreProperties>
</file>